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C6" w:rsidRDefault="008F78C6" w:rsidP="004F5C2A">
      <w:pPr>
        <w:pStyle w:val="Heading1"/>
        <w:rPr>
          <w:rFonts w:hint="cs"/>
          <w:sz w:val="40"/>
          <w:szCs w:val="40"/>
          <w:rtl/>
        </w:rPr>
      </w:pPr>
      <w:bookmarkStart w:id="0" w:name="_Toc355460868"/>
      <w:bookmarkStart w:id="1" w:name="_Toc355460999"/>
      <w:bookmarkStart w:id="2" w:name="_Toc355461106"/>
    </w:p>
    <w:p w:rsidR="008F78C6" w:rsidRDefault="008F78C6" w:rsidP="004F5C2A">
      <w:pPr>
        <w:pStyle w:val="Heading1"/>
        <w:rPr>
          <w:rFonts w:hint="cs"/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  <w:lang w:bidi="ar-SA"/>
        </w:rPr>
        <w:drawing>
          <wp:inline distT="0" distB="0" distL="0" distR="0">
            <wp:extent cx="4919472" cy="7040880"/>
            <wp:effectExtent l="19050" t="0" r="0" b="0"/>
            <wp:docPr id="1" name="Picture 0" descr="کتا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کتاب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B1" w:rsidRDefault="005F23B1" w:rsidP="004F5C2A">
      <w:pPr>
        <w:pStyle w:val="Heading1"/>
        <w:rPr>
          <w:rFonts w:hint="cs"/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  <w:lang w:bidi="ar-SA"/>
        </w:rPr>
        <w:lastRenderedPageBreak/>
        <w:drawing>
          <wp:inline distT="0" distB="0" distL="0" distR="0">
            <wp:extent cx="5943600" cy="3958590"/>
            <wp:effectExtent l="19050" t="0" r="0" b="0"/>
            <wp:docPr id="2" name="Picture 1" descr="IMG12104024(2)(3)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104024(2)(3)(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B1" w:rsidRDefault="005F23B1" w:rsidP="005F23B1">
      <w:pPr>
        <w:pStyle w:val="Heading1"/>
        <w:tabs>
          <w:tab w:val="left" w:pos="3600"/>
        </w:tabs>
        <w:jc w:val="lowKashida"/>
        <w:rPr>
          <w:rFonts w:hint="cs"/>
          <w:sz w:val="40"/>
          <w:szCs w:val="40"/>
          <w:rtl/>
        </w:rPr>
      </w:pPr>
      <w:r>
        <w:rPr>
          <w:sz w:val="40"/>
          <w:szCs w:val="40"/>
          <w:rtl/>
        </w:rPr>
        <w:tab/>
      </w:r>
    </w:p>
    <w:p w:rsidR="004F5C2A" w:rsidRDefault="00100AD2" w:rsidP="004F5C2A">
      <w:pPr>
        <w:pStyle w:val="Heading1"/>
        <w:rPr>
          <w:sz w:val="56"/>
          <w:szCs w:val="56"/>
          <w:rtl/>
        </w:rPr>
      </w:pPr>
      <w:r w:rsidRPr="00100AD2">
        <w:rPr>
          <w:rFonts w:hint="cs"/>
          <w:sz w:val="40"/>
          <w:szCs w:val="40"/>
          <w:rtl/>
        </w:rPr>
        <w:t xml:space="preserve">کتاب </w:t>
      </w:r>
      <w:r>
        <w:rPr>
          <w:rFonts w:cs="Times New Roman" w:hint="cs"/>
          <w:sz w:val="40"/>
          <w:szCs w:val="40"/>
          <w:rtl/>
        </w:rPr>
        <w:t>"</w:t>
      </w:r>
      <w:r w:rsidRPr="00100AD2">
        <w:rPr>
          <w:rFonts w:hint="cs"/>
          <w:sz w:val="40"/>
          <w:szCs w:val="40"/>
          <w:rtl/>
        </w:rPr>
        <w:t xml:space="preserve">در آمدی بر وحدت حوزه و دانشگاه </w:t>
      </w:r>
      <w:r w:rsidR="004F5C2A">
        <w:rPr>
          <w:rFonts w:cs="Times New Roman" w:hint="cs"/>
          <w:sz w:val="40"/>
          <w:szCs w:val="40"/>
          <w:rtl/>
        </w:rPr>
        <w:t>"</w:t>
      </w:r>
      <w:r w:rsidRPr="00100AD2">
        <w:rPr>
          <w:rFonts w:hint="cs"/>
          <w:sz w:val="40"/>
          <w:szCs w:val="40"/>
          <w:rtl/>
        </w:rPr>
        <w:t>تالیف دکتر محمدمحمدرضایی استاد دانشگاه تهران</w:t>
      </w:r>
      <w:r w:rsidR="004F5C2A">
        <w:rPr>
          <w:rFonts w:hint="cs"/>
          <w:sz w:val="40"/>
          <w:szCs w:val="40"/>
          <w:rtl/>
        </w:rPr>
        <w:t xml:space="preserve"> توسط دبیر خانه شورای انقلاب فرهنگی منتشر شد.</w:t>
      </w:r>
      <w:r>
        <w:rPr>
          <w:rFonts w:hint="cs"/>
          <w:sz w:val="56"/>
          <w:szCs w:val="56"/>
          <w:rtl/>
        </w:rPr>
        <w:t xml:space="preserve"> </w:t>
      </w:r>
      <w:bookmarkEnd w:id="0"/>
      <w:bookmarkEnd w:id="1"/>
      <w:bookmarkEnd w:id="2"/>
    </w:p>
    <w:p w:rsidR="000343E9" w:rsidRDefault="004F5C2A" w:rsidP="004F5C2A">
      <w:pPr>
        <w:pStyle w:val="Heading1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در بخشی از مقدمه کتاب چنین امده است.</w:t>
      </w:r>
    </w:p>
    <w:p w:rsidR="000343E9" w:rsidRDefault="000343E9" w:rsidP="000343E9">
      <w:pPr>
        <w:rPr>
          <w:rtl/>
        </w:rPr>
      </w:pPr>
      <w:r>
        <w:rPr>
          <w:rFonts w:hint="cs"/>
          <w:rtl/>
        </w:rPr>
        <w:t xml:space="preserve">وحدت حوزه و دانشگاه از یادگارهای ارزشمند امام خمینی (ره) است که خلف صالح آن حضرت آیت الله العظمی خامنه‌ای (دامت معالیه)، همواره بر آن تأکید داشته و دارند. ایشان در این باره می‌فرمایند: «وحدت حوزه و دانشگاه از یادگارهای ارزشمند امام بزرگوار است. این مسئله هم مثل همة تدابیر و تصمیم‌های مهمی که راه جریان صحیح و اسلامی جامعة ما، آن حکیم عالی مقام و آن انسان والا و بصیر </w:t>
      </w:r>
      <w:r>
        <w:rPr>
          <w:rFonts w:hint="cs"/>
          <w:rtl/>
        </w:rPr>
        <w:lastRenderedPageBreak/>
        <w:t>مطرح کردند، یکی از برکات وجودی ایشان بوده و هست و انشاء الله خواهد بود.</w:t>
      </w:r>
      <w:r>
        <w:rPr>
          <w:rStyle w:val="FootnoteReference"/>
          <w:rtl/>
        </w:rPr>
        <w:footnoteReference w:id="1"/>
      </w:r>
    </w:p>
    <w:p w:rsidR="000343E9" w:rsidRDefault="000343E9" w:rsidP="000343E9">
      <w:pPr>
        <w:rPr>
          <w:rtl/>
        </w:rPr>
      </w:pPr>
      <w:r>
        <w:rPr>
          <w:rFonts w:hint="cs"/>
          <w:rtl/>
        </w:rPr>
        <w:t>تعابیر گران‌سنگ حضرت امام در باب وحدت حوزه و دانشگاه بیان‌گر، این مهم می‌باشد که برای نمونه به برخی از آنها اشاره می‌نماییم:</w:t>
      </w:r>
    </w:p>
    <w:p w:rsidR="000343E9" w:rsidRDefault="000343E9" w:rsidP="000343E9">
      <w:pPr>
        <w:rPr>
          <w:rtl/>
        </w:rPr>
      </w:pPr>
      <w:r>
        <w:rPr>
          <w:rFonts w:hint="cs"/>
          <w:rtl/>
        </w:rPr>
        <w:t>1. وحدت حوزه و دانشگاه موجب رشد واقعی و ترقی و تعالی حقیقی کشور می‌شود.</w:t>
      </w:r>
      <w:r>
        <w:rPr>
          <w:rStyle w:val="FootnoteReference"/>
          <w:rtl/>
        </w:rPr>
        <w:footnoteReference w:id="2"/>
      </w:r>
    </w:p>
    <w:p w:rsidR="000343E9" w:rsidRDefault="000343E9" w:rsidP="000343E9">
      <w:pPr>
        <w:rPr>
          <w:rtl/>
        </w:rPr>
      </w:pPr>
      <w:r>
        <w:rPr>
          <w:rFonts w:hint="cs"/>
          <w:rtl/>
        </w:rPr>
        <w:t>2. وحدت حوزه و دانشگاه ضامن استقلال کشور و حفظ اسلام است، نه دانشگاهی بدون روحانی می‌تواند به استقلال برسد و نه روحانی بدون دانشگاهی.</w:t>
      </w:r>
      <w:r>
        <w:rPr>
          <w:rStyle w:val="FootnoteReference"/>
          <w:rtl/>
        </w:rPr>
        <w:footnoteReference w:id="3"/>
      </w:r>
    </w:p>
    <w:p w:rsidR="000343E9" w:rsidRDefault="000343E9" w:rsidP="000343E9">
      <w:pPr>
        <w:rPr>
          <w:rtl/>
        </w:rPr>
      </w:pPr>
      <w:r>
        <w:rPr>
          <w:rFonts w:hint="cs"/>
          <w:rtl/>
        </w:rPr>
        <w:t>3. وحدت حوزه و دانشگاه، به معنی ائتلاف همه ملت.</w:t>
      </w:r>
      <w:r>
        <w:rPr>
          <w:rStyle w:val="FootnoteReference"/>
          <w:rtl/>
        </w:rPr>
        <w:footnoteReference w:id="4"/>
      </w:r>
    </w:p>
    <w:p w:rsidR="000343E9" w:rsidRDefault="000343E9" w:rsidP="000343E9">
      <w:pPr>
        <w:rPr>
          <w:rtl/>
        </w:rPr>
      </w:pPr>
      <w:r>
        <w:rPr>
          <w:rFonts w:hint="cs"/>
          <w:rtl/>
        </w:rPr>
        <w:t>4. اصلاح کشور، محصول وحدت دو جناح حوزه و دانشگاه است.</w:t>
      </w:r>
      <w:r>
        <w:rPr>
          <w:rStyle w:val="FootnoteReference"/>
          <w:rtl/>
        </w:rPr>
        <w:footnoteReference w:id="5"/>
      </w:r>
    </w:p>
    <w:p w:rsidR="000343E9" w:rsidRDefault="000343E9" w:rsidP="000343E9">
      <w:pPr>
        <w:rPr>
          <w:rtl/>
        </w:rPr>
      </w:pPr>
      <w:r>
        <w:rPr>
          <w:rFonts w:hint="cs"/>
          <w:rtl/>
        </w:rPr>
        <w:t>بنابراین، حضرت امام اصلاح و استقلال و نیز رشد واقعی و تعالی حقیقی کشور را در گرو وحدت حوزه و دانشگاه می‌دانند و نیز ایشان، ضرورت وحدت را از جمله وحدت حوزه و دانشگاه را به حکم عقل و نقل ثابت می‌نمایند. حضرت مقام معظم رهبری نیز با توجه به تأکیدات حضرت امام بر وحدت حوزه و دانشگاه آن را یکی از مسائل اصلی انقلاب و کشور دانسته که مبنای آن در توحید و امامت می‌باشد که نقطه مقابل آن شرک و بت‌پرستی است.</w:t>
      </w:r>
    </w:p>
    <w:p w:rsidR="000343E9" w:rsidRDefault="000343E9" w:rsidP="000343E9">
      <w:pPr>
        <w:rPr>
          <w:rtl/>
        </w:rPr>
      </w:pPr>
      <w:r>
        <w:rPr>
          <w:rFonts w:hint="cs"/>
          <w:rtl/>
        </w:rPr>
        <w:t xml:space="preserve">معظم له ثمرات این وحدت را ایجاد یک جامعه اسلامی پیشرفته، مستقل و الگو می‌دانند که سعادت دنیا و آخرت در آن جمع می‌باشد. این مهم از طریق اسلامی شدن دانشگاه‌ها و به روز شدن حوزه‌های علمیه </w:t>
      </w:r>
      <w:r>
        <w:rPr>
          <w:rFonts w:hint="cs"/>
          <w:rtl/>
        </w:rPr>
        <w:lastRenderedPageBreak/>
        <w:t>رخ می‌نماید. همچنین اختلاف و جدایی حوزه و دانشگاه را توطئه استکباری می‌دانند که برای نیل به مقاصد شوم خود، دانشگاه‌ها را بر پایه‌های غیر دینی بنا گذاشته و به تعبیری دین را از دانشگاه حذف نموده‌اند.</w:t>
      </w:r>
      <w:r>
        <w:rPr>
          <w:rStyle w:val="FootnoteReference"/>
          <w:rtl/>
        </w:rPr>
        <w:footnoteReference w:id="6"/>
      </w:r>
    </w:p>
    <w:p w:rsidR="000343E9" w:rsidRDefault="000343E9" w:rsidP="000343E9">
      <w:pPr>
        <w:rPr>
          <w:rtl/>
        </w:rPr>
      </w:pPr>
      <w:r>
        <w:rPr>
          <w:rFonts w:hint="cs"/>
          <w:rtl/>
        </w:rPr>
        <w:t>سخنان ارزشمند حضرت امام خمینی و حضرت مقام معظم رهبری در باب وحدت حوزه و دانشگاه حاکی از اهمیت و ضرورت این امر می‌باشد.</w:t>
      </w:r>
    </w:p>
    <w:p w:rsidR="000343E9" w:rsidRDefault="000343E9" w:rsidP="000343E9">
      <w:pPr>
        <w:rPr>
          <w:rtl/>
        </w:rPr>
      </w:pPr>
      <w:r>
        <w:rPr>
          <w:rFonts w:hint="cs"/>
          <w:rtl/>
        </w:rPr>
        <w:t>حوزه و دانشگاه، به عنوان دو نهاد علمی تأثیرگذار، بیشترین نقش را در ایجاد و تداوم انقلاب شکوهمند اسلامی ایران داشته‌اند. استعمارگران همواره در جهت راستای منافع خود، نهایت سعی و تبلیغات خود را به کار گرفته تا بذر کینه و عداوت را بین این دو نهاد بکارند. دانشگاه‌های جدید که دستاورد تمدن مغرب زمین است، بر اساس مبانی تجربی و مادی گرایانه و سکولاریستی، شکل گرفته است که بسیاری از متفکران علم‌گرا برآنند که آن را مخالف آموزه‌های وحیانی قرار دهند. برخورد نادرست متولیان کلیسا با دانشمندان علوم تجربی و نیز آموزه‌های تحریف شده کتاب مقدس و نیز رواج مکتب‌های فلسفی تجربی‌گرا و مادی‌گرا و علم گرایانه به تعارض علم و دین و در نتیجه به تعارض دانشگاه‌های جدید و مراکز علوم دینی دامن زد. و این فرهنگ جدایی به کشور ما نیز وارد شد و معمولاً فارغ التحصیلان دانشگاهی، تحت تأثیر این فرهنگ قرار می‌گرفتند.</w:t>
      </w:r>
    </w:p>
    <w:p w:rsidR="000343E9" w:rsidRDefault="000343E9" w:rsidP="007414E1">
      <w:pPr>
        <w:rPr>
          <w:rtl/>
        </w:rPr>
      </w:pPr>
      <w:r>
        <w:rPr>
          <w:rFonts w:hint="cs"/>
          <w:rtl/>
        </w:rPr>
        <w:t xml:space="preserve">قبل از انقلاب عالمان فرهیخته حوزوی نظیر علامه طباطبایی، علامه مطهری، آیت الله دکتر بهشتی، آیت الله دکتر مفتح و آیت الله دکتر باهنر و ...، بر آن بودند تا با فرهنگ مادی گرایانه و علم گرایانه به نحو عالمانه مقابله نمایند و اثبات نمایند که نه تنها نظریات علوم تجربی قطعی، هیچ گاه با دین ناسازگار نیستند، بلکه اسلام انسان‌ها را به مطالعه و سیر در آفاق و انفس دعوت نموده و آن را بر همگان تکلیف کرده است. علامه مطهری در بحث رابطه علم و دین، دیدگاه مکملیت را می‌پذیرد که انسان برای زندگی سعادتمندانه </w:t>
      </w:r>
      <w:r>
        <w:rPr>
          <w:rFonts w:hint="cs"/>
          <w:rtl/>
        </w:rPr>
        <w:lastRenderedPageBreak/>
        <w:t xml:space="preserve">خود هم به دین و هم به علم نیاز دارد. </w:t>
      </w:r>
      <w:r w:rsidR="007414E1">
        <w:rPr>
          <w:rFonts w:hint="cs"/>
          <w:rtl/>
        </w:rPr>
        <w:t>...........</w:t>
      </w:r>
    </w:p>
    <w:p w:rsidR="000343E9" w:rsidRDefault="000343E9" w:rsidP="007414E1">
      <w:pPr>
        <w:rPr>
          <w:rtl/>
        </w:rPr>
      </w:pPr>
      <w:r>
        <w:rPr>
          <w:rFonts w:hint="cs"/>
          <w:rtl/>
        </w:rPr>
        <w:t xml:space="preserve">اما بعد، اینجانب به عنوان فردی که حدود </w:t>
      </w:r>
      <w:r w:rsidR="007414E1">
        <w:rPr>
          <w:rFonts w:hint="cs"/>
          <w:rtl/>
        </w:rPr>
        <w:t>(40)</w:t>
      </w:r>
      <w:r>
        <w:rPr>
          <w:rFonts w:hint="cs"/>
          <w:rtl/>
        </w:rPr>
        <w:t xml:space="preserve"> سال با مراکز دانشگاهی و حوزوی آشنا می‌باشد، قبل از این تحقیق نه معنای روشن و واضحی از معنای وحدت حوزه و دانشگاه در ذهن داشته و نه می‌توانستم دیدگاه صحیح را به حضرت امام و مقام معظم رهبری نسبت دهم. البته سؤالات جدی در باب وحدت حوزه و دانشگاه برایم مطرح بود.</w:t>
      </w:r>
    </w:p>
    <w:p w:rsidR="000343E9" w:rsidRDefault="000343E9" w:rsidP="000343E9">
      <w:pPr>
        <w:rPr>
          <w:rtl/>
        </w:rPr>
      </w:pPr>
      <w:r>
        <w:rPr>
          <w:rFonts w:hint="cs"/>
          <w:rtl/>
        </w:rPr>
        <w:t>حضرت امام هر گاه دانشگاه‌ها را مورد انتقاد قرار می‌داد، حوزه‌های علمیه را نیز از این امر بی‌نصیب نمی‌ذاشت. اگر از نظر حضرت امام هم دانشگاه و هم حوزه مصون از انتقاد نیست، بنابراین وحدت باید حول محور سومی صورت بگیرد. فرضیه‌ای در این باب در ذهنم شکل گرفت که حوزه و دانشگاه باید حول محور اسلام و قرآن با هم متحد شوند که در آن صورت هم حوزه و هم دانشگاه باید علم و فرهنگ و اخلاق و مدیریت و سیاست و ... خود را با میزان و معیار اسلام بسنجند، آنها به هر مقدار که خود را با آموزه‌های اسلام هماهنگ کنند به همان مقدار به وحدت نایل شده‌اند.</w:t>
      </w:r>
    </w:p>
    <w:p w:rsidR="000343E9" w:rsidRDefault="000343E9" w:rsidP="000343E9">
      <w:pPr>
        <w:rPr>
          <w:rtl/>
        </w:rPr>
      </w:pPr>
      <w:r>
        <w:rPr>
          <w:rFonts w:hint="cs"/>
          <w:rtl/>
        </w:rPr>
        <w:t>بر اساس این فرضیه و به جهت علاقه به این موضوع، تحقیق محوله از جانب کمیسیون حوزوی شورای انقلاب را پذیرفتم. هنگامی که فرمایشات حضرت امام و مقام معظم رهبری را در این باره مورد مداقه قرار می‌دادم، به مطالبی برخورد نمودم که فرضیه پیشنهادی در باب وحدت حوزه و دانشگاه را تقویت می‌نمود. از این رو به رسم ادب، فرضیه و دیدگاه پیشنهادی خود را در قالب دیدگاه حضرت امام و مقام معظم رهبری ارائه نموده‌ام.</w:t>
      </w:r>
    </w:p>
    <w:p w:rsidR="000343E9" w:rsidRDefault="000343E9" w:rsidP="000343E9">
      <w:pPr>
        <w:rPr>
          <w:rtl/>
        </w:rPr>
      </w:pPr>
      <w:r>
        <w:rPr>
          <w:rFonts w:hint="cs"/>
          <w:rtl/>
        </w:rPr>
        <w:t>در این تحقیق، مطالب ذیل در قالب شش فصل مورد بحث و بررسی قرار گرفته است:</w:t>
      </w:r>
    </w:p>
    <w:p w:rsidR="000343E9" w:rsidRDefault="000343E9" w:rsidP="000343E9">
      <w:pPr>
        <w:rPr>
          <w:rtl/>
        </w:rPr>
      </w:pPr>
      <w:r>
        <w:rPr>
          <w:rFonts w:hint="cs"/>
          <w:rtl/>
        </w:rPr>
        <w:t>1. تعریف حوزه و دانشگاه؛</w:t>
      </w:r>
    </w:p>
    <w:p w:rsidR="000343E9" w:rsidRDefault="000343E9" w:rsidP="000343E9">
      <w:pPr>
        <w:rPr>
          <w:rtl/>
        </w:rPr>
      </w:pPr>
      <w:r>
        <w:rPr>
          <w:rFonts w:hint="cs"/>
          <w:rtl/>
        </w:rPr>
        <w:t>2. عوامل بیرونی در جدایی حوزه از دانشگاه؛</w:t>
      </w:r>
    </w:p>
    <w:p w:rsidR="000343E9" w:rsidRDefault="000343E9" w:rsidP="000343E9">
      <w:pPr>
        <w:rPr>
          <w:rtl/>
        </w:rPr>
      </w:pPr>
      <w:r>
        <w:rPr>
          <w:rFonts w:hint="cs"/>
          <w:rtl/>
        </w:rPr>
        <w:t>3. عوامل داخلی در جدایی حوزه و دانشگاه؛</w:t>
      </w:r>
    </w:p>
    <w:p w:rsidR="000343E9" w:rsidRDefault="000343E9" w:rsidP="000343E9">
      <w:pPr>
        <w:rPr>
          <w:rtl/>
        </w:rPr>
      </w:pPr>
      <w:r>
        <w:rPr>
          <w:rFonts w:hint="cs"/>
          <w:rtl/>
        </w:rPr>
        <w:lastRenderedPageBreak/>
        <w:t xml:space="preserve">4. وحدت حوزه و دانشگاه از دیدگاه امام خمینی؛ </w:t>
      </w:r>
    </w:p>
    <w:p w:rsidR="000343E9" w:rsidRDefault="000343E9" w:rsidP="000343E9">
      <w:pPr>
        <w:rPr>
          <w:rtl/>
        </w:rPr>
      </w:pPr>
      <w:r>
        <w:rPr>
          <w:rFonts w:hint="cs"/>
          <w:rtl/>
        </w:rPr>
        <w:t>5. دیدگاه‌های مختف در باب نظریه امام خمینی؛</w:t>
      </w:r>
    </w:p>
    <w:p w:rsidR="000343E9" w:rsidRDefault="000343E9" w:rsidP="000343E9">
      <w:pPr>
        <w:rPr>
          <w:rtl/>
        </w:rPr>
      </w:pPr>
      <w:r>
        <w:rPr>
          <w:rFonts w:hint="cs"/>
          <w:rtl/>
        </w:rPr>
        <w:t>6. دیدگاه مقام معظم رهبری در باب وحدت حوزه و دانشگاه؛</w:t>
      </w:r>
    </w:p>
    <w:p w:rsidR="00044120" w:rsidRDefault="000343E9" w:rsidP="00044120">
      <w:pPr>
        <w:rPr>
          <w:rtl/>
        </w:rPr>
      </w:pPr>
      <w:r>
        <w:rPr>
          <w:rFonts w:hint="cs"/>
          <w:rtl/>
        </w:rPr>
        <w:t xml:space="preserve">7. دیدگاه </w:t>
      </w:r>
      <w:r w:rsidR="00044120">
        <w:rPr>
          <w:rFonts w:hint="cs"/>
          <w:rtl/>
        </w:rPr>
        <w:t>متفکران اسلامی</w:t>
      </w:r>
      <w:r>
        <w:rPr>
          <w:rFonts w:hint="cs"/>
          <w:rtl/>
        </w:rPr>
        <w:t xml:space="preserve"> در باب وحدت حوزه و دانشگاه؛</w:t>
      </w:r>
    </w:p>
    <w:p w:rsidR="000343E9" w:rsidRDefault="00044120" w:rsidP="000343E9">
      <w:pPr>
        <w:rPr>
          <w:rtl/>
        </w:rPr>
      </w:pPr>
      <w:r>
        <w:rPr>
          <w:rFonts w:hint="cs"/>
          <w:rtl/>
        </w:rPr>
        <w:t>8</w:t>
      </w:r>
      <w:r w:rsidR="000343E9">
        <w:rPr>
          <w:rFonts w:hint="cs"/>
          <w:rtl/>
        </w:rPr>
        <w:t>. رویکردهای مختلف در باب وحدت حوزه ودانشگاه؛</w:t>
      </w:r>
    </w:p>
    <w:p w:rsidR="000343E9" w:rsidRDefault="00044120" w:rsidP="000343E9">
      <w:pPr>
        <w:rPr>
          <w:rtl/>
        </w:rPr>
      </w:pPr>
      <w:r>
        <w:rPr>
          <w:rFonts w:hint="cs"/>
          <w:rtl/>
        </w:rPr>
        <w:t>9</w:t>
      </w:r>
      <w:r w:rsidR="000343E9">
        <w:rPr>
          <w:rFonts w:hint="cs"/>
          <w:rtl/>
        </w:rPr>
        <w:t>. راهکارها و سیاست‌های نیل به وحدت.</w:t>
      </w:r>
    </w:p>
    <w:p w:rsidR="00044120" w:rsidRDefault="000343E9" w:rsidP="000343E9">
      <w:pPr>
        <w:rPr>
          <w:rtl/>
        </w:rPr>
      </w:pPr>
      <w:r>
        <w:rPr>
          <w:rFonts w:hint="cs"/>
          <w:rtl/>
        </w:rPr>
        <w:t>در پایان، از همه مسئولین و دست اندرکاران کمیسیون حوزوی و دبیرخانه شورای انقلاب فرهنگی، به ویژه جناب آقای دکتر مخبر دزفولی و جناب حجت الاسلام والمسلمین دکتر حمید پارسانیا و نیز جناب حجت الاسلام والمسلمین دکتر علی عباسی و نیز جناب حجت الاسلام و المسلمین دکتر روح الله شاطری، ناظر محترم این تحقیق که در موارد مختلف از مشورت‌های مدبرانه ایشان بهره‌مند گشته، و نیز از همه دوستان، به خصوص محققان گرامی جناب آقای حسن مهرآبادی (که زحمت گردآوری مطالب اولیه فصل پنجم و ششم به عهده ایشان بوده است) و جناب آقای مصطفی حسینی گلکار، که ما را در این امر یاری نموده، صمیمانه تقدیر و تشکر می‌نمایم. و نیز پیشنهاد آن است که به جهت اهمیت و ضرورت بحث و بررسی پیرامون مسئله وحدت حوزه و دانشگاه هر ساله محققان و پژوهشگران در این باره به تحقیق و بررسی بپردازند تا زوایای بحث هر چه بیشتر عیان گردد. از آنجا که هر کار و فعالیت بشری عجین با نقص «کاستی» است، از همه پژوهشگران و اساتید حوزه و دانشگاه تقاضامندم که با پیشنهادات و نظریات اصلاحی خود هر چه بیشتر بر غنای این بحث بیفزایند.</w:t>
      </w:r>
    </w:p>
    <w:p w:rsidR="000343E9" w:rsidRDefault="00044120" w:rsidP="000343E9">
      <w:pPr>
        <w:rPr>
          <w:rtl/>
        </w:rPr>
      </w:pPr>
      <w:r>
        <w:rPr>
          <w:rFonts w:hint="cs"/>
          <w:rtl/>
        </w:rPr>
        <w:t>با احترام محمدمحمدرضایی استاد گروه فلسفه دانشگاه تهران</w:t>
      </w:r>
    </w:p>
    <w:p w:rsidR="00222D2D" w:rsidRDefault="00222D2D"/>
    <w:sectPr w:rsidR="00222D2D" w:rsidSect="0022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89B" w:rsidRDefault="00E7689B" w:rsidP="000343E9">
      <w:pPr>
        <w:spacing w:line="240" w:lineRule="auto"/>
      </w:pPr>
      <w:r>
        <w:separator/>
      </w:r>
    </w:p>
  </w:endnote>
  <w:endnote w:type="continuationSeparator" w:id="0">
    <w:p w:rsidR="00E7689B" w:rsidRDefault="00E7689B" w:rsidP="00034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89B" w:rsidRDefault="00E7689B" w:rsidP="000343E9">
      <w:pPr>
        <w:spacing w:line="240" w:lineRule="auto"/>
      </w:pPr>
      <w:r>
        <w:separator/>
      </w:r>
    </w:p>
  </w:footnote>
  <w:footnote w:type="continuationSeparator" w:id="0">
    <w:p w:rsidR="00E7689B" w:rsidRDefault="00E7689B" w:rsidP="000343E9">
      <w:pPr>
        <w:spacing w:line="240" w:lineRule="auto"/>
      </w:pPr>
      <w:r>
        <w:continuationSeparator/>
      </w:r>
    </w:p>
  </w:footnote>
  <w:footnote w:id="1">
    <w:p w:rsidR="000343E9" w:rsidRPr="006000BE" w:rsidRDefault="000343E9" w:rsidP="000343E9">
      <w:pPr>
        <w:pStyle w:val="FootnoteText"/>
      </w:pPr>
      <w:r w:rsidRPr="006000BE">
        <w:rPr>
          <w:rStyle w:val="FootnoteReference"/>
        </w:rPr>
        <w:footnoteRef/>
      </w:r>
      <w:r w:rsidRPr="006000BE">
        <w:rPr>
          <w:rtl/>
        </w:rPr>
        <w:t xml:space="preserve"> </w:t>
      </w:r>
      <w:r w:rsidRPr="006000BE">
        <w:rPr>
          <w:rFonts w:hint="cs"/>
          <w:rtl/>
        </w:rPr>
        <w:t xml:space="preserve">. مقام معظم رهبری، سخنرانی ایشان به مناسبت روز وحدت حوزه و دانشگاه «تاریخ 28/9/1369». </w:t>
      </w:r>
    </w:p>
  </w:footnote>
  <w:footnote w:id="2">
    <w:p w:rsidR="000343E9" w:rsidRPr="006000BE" w:rsidRDefault="000343E9" w:rsidP="000343E9">
      <w:pPr>
        <w:pStyle w:val="FootnoteText"/>
      </w:pPr>
      <w:r w:rsidRPr="006000BE">
        <w:rPr>
          <w:rStyle w:val="FootnoteReference"/>
        </w:rPr>
        <w:footnoteRef/>
      </w:r>
      <w:r w:rsidRPr="006000BE">
        <w:rPr>
          <w:rtl/>
        </w:rPr>
        <w:t xml:space="preserve"> </w:t>
      </w:r>
      <w:r w:rsidRPr="006000BE">
        <w:rPr>
          <w:rFonts w:hint="cs"/>
          <w:rtl/>
        </w:rPr>
        <w:t xml:space="preserve">. </w:t>
      </w:r>
      <w:r w:rsidRPr="006000BE">
        <w:rPr>
          <w:rFonts w:hint="cs"/>
          <w:rtl/>
        </w:rPr>
        <w:t xml:space="preserve">امام خمینی، صحیفه نور، ج 10، ص 84. </w:t>
      </w:r>
    </w:p>
  </w:footnote>
  <w:footnote w:id="3">
    <w:p w:rsidR="000343E9" w:rsidRPr="006000BE" w:rsidRDefault="000343E9" w:rsidP="000343E9">
      <w:pPr>
        <w:pStyle w:val="FootnoteText"/>
      </w:pPr>
      <w:r w:rsidRPr="006000BE">
        <w:rPr>
          <w:rStyle w:val="FootnoteReference"/>
        </w:rPr>
        <w:footnoteRef/>
      </w:r>
      <w:r w:rsidRPr="006000BE">
        <w:rPr>
          <w:rtl/>
        </w:rPr>
        <w:t xml:space="preserve"> </w:t>
      </w:r>
      <w:r w:rsidRPr="006000BE">
        <w:rPr>
          <w:rFonts w:hint="cs"/>
          <w:rtl/>
        </w:rPr>
        <w:t xml:space="preserve">. </w:t>
      </w:r>
      <w:r w:rsidRPr="006000BE">
        <w:rPr>
          <w:rFonts w:hint="cs"/>
          <w:rtl/>
        </w:rPr>
        <w:t xml:space="preserve">همان. </w:t>
      </w:r>
    </w:p>
  </w:footnote>
  <w:footnote w:id="4">
    <w:p w:rsidR="000343E9" w:rsidRPr="006000BE" w:rsidRDefault="000343E9" w:rsidP="000343E9">
      <w:pPr>
        <w:pStyle w:val="FootnoteText"/>
      </w:pPr>
      <w:r w:rsidRPr="006000BE">
        <w:rPr>
          <w:rStyle w:val="FootnoteReference"/>
        </w:rPr>
        <w:footnoteRef/>
      </w:r>
      <w:r w:rsidRPr="006000BE">
        <w:rPr>
          <w:rtl/>
        </w:rPr>
        <w:t xml:space="preserve"> </w:t>
      </w:r>
      <w:r w:rsidRPr="006000BE">
        <w:rPr>
          <w:rFonts w:hint="cs"/>
          <w:rtl/>
        </w:rPr>
        <w:t xml:space="preserve">. </w:t>
      </w:r>
      <w:r w:rsidRPr="006000BE">
        <w:rPr>
          <w:rFonts w:hint="cs"/>
          <w:rtl/>
        </w:rPr>
        <w:t xml:space="preserve">همان. </w:t>
      </w:r>
    </w:p>
  </w:footnote>
  <w:footnote w:id="5">
    <w:p w:rsidR="000343E9" w:rsidRPr="006000BE" w:rsidRDefault="000343E9" w:rsidP="000343E9">
      <w:pPr>
        <w:pStyle w:val="FootnoteText"/>
      </w:pPr>
      <w:r w:rsidRPr="006000BE">
        <w:rPr>
          <w:rStyle w:val="FootnoteReference"/>
        </w:rPr>
        <w:footnoteRef/>
      </w:r>
      <w:r w:rsidRPr="006000BE">
        <w:rPr>
          <w:rtl/>
        </w:rPr>
        <w:t xml:space="preserve"> </w:t>
      </w:r>
      <w:r w:rsidRPr="006000BE">
        <w:rPr>
          <w:rFonts w:hint="cs"/>
          <w:rtl/>
        </w:rPr>
        <w:t xml:space="preserve">. </w:t>
      </w:r>
      <w:r w:rsidRPr="006000BE">
        <w:rPr>
          <w:rFonts w:hint="cs"/>
          <w:rtl/>
        </w:rPr>
        <w:t xml:space="preserve">همان، ج 15، ص 470. </w:t>
      </w:r>
    </w:p>
  </w:footnote>
  <w:footnote w:id="6">
    <w:p w:rsidR="000343E9" w:rsidRPr="006000BE" w:rsidRDefault="000343E9" w:rsidP="000343E9">
      <w:pPr>
        <w:pStyle w:val="FootnoteText"/>
        <w:rPr>
          <w:rtl/>
        </w:rPr>
      </w:pPr>
      <w:r w:rsidRPr="006000BE">
        <w:rPr>
          <w:rStyle w:val="FootnoteReference"/>
        </w:rPr>
        <w:footnoteRef/>
      </w:r>
      <w:r w:rsidRPr="006000BE">
        <w:rPr>
          <w:rtl/>
        </w:rPr>
        <w:t xml:space="preserve"> </w:t>
      </w:r>
      <w:r w:rsidRPr="006000BE">
        <w:rPr>
          <w:rFonts w:hint="cs"/>
          <w:rtl/>
        </w:rPr>
        <w:t xml:space="preserve">. </w:t>
      </w:r>
      <w:r w:rsidRPr="006000BE">
        <w:rPr>
          <w:rFonts w:hint="cs"/>
          <w:rtl/>
        </w:rPr>
        <w:t xml:space="preserve">ر. ک: سیات مقام معظم رهبری.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3E9"/>
    <w:rsid w:val="000343E9"/>
    <w:rsid w:val="00044120"/>
    <w:rsid w:val="00100AD2"/>
    <w:rsid w:val="00222D2D"/>
    <w:rsid w:val="004F5C2A"/>
    <w:rsid w:val="005F23B1"/>
    <w:rsid w:val="006256CE"/>
    <w:rsid w:val="007414E1"/>
    <w:rsid w:val="008F78C6"/>
    <w:rsid w:val="00941144"/>
    <w:rsid w:val="00A14EF4"/>
    <w:rsid w:val="00E2594F"/>
    <w:rsid w:val="00E7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343E9"/>
    <w:pPr>
      <w:widowControl w:val="0"/>
      <w:bidi/>
      <w:spacing w:after="0" w:line="640" w:lineRule="exact"/>
      <w:ind w:firstLine="284"/>
      <w:jc w:val="lowKashida"/>
    </w:pPr>
    <w:rPr>
      <w:rFonts w:ascii="Times New Roman" w:eastAsia="Times New Roman" w:hAnsi="Times New Roman" w:cs="B Lotus"/>
      <w:szCs w:val="29"/>
      <w:lang w:bidi="fa-IR"/>
    </w:rPr>
  </w:style>
  <w:style w:type="paragraph" w:styleId="Heading1">
    <w:name w:val="heading 1"/>
    <w:aliases w:val="تیتر1"/>
    <w:basedOn w:val="Normal"/>
    <w:next w:val="Normal"/>
    <w:link w:val="Heading1Char"/>
    <w:qFormat/>
    <w:rsid w:val="000343E9"/>
    <w:pPr>
      <w:keepNext/>
      <w:spacing w:before="240" w:after="120" w:line="240" w:lineRule="auto"/>
      <w:ind w:firstLine="0"/>
      <w:jc w:val="center"/>
      <w:outlineLvl w:val="0"/>
    </w:pPr>
    <w:rPr>
      <w:rFonts w:cs="B Mitra"/>
      <w:b/>
      <w:bCs/>
      <w:kern w:val="32"/>
      <w:sz w:val="36"/>
      <w:szCs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تیتر1 Char"/>
    <w:basedOn w:val="DefaultParagraphFont"/>
    <w:link w:val="Heading1"/>
    <w:rsid w:val="000343E9"/>
    <w:rPr>
      <w:rFonts w:ascii="Times New Roman" w:eastAsia="Times New Roman" w:hAnsi="Times New Roman" w:cs="B Mitra"/>
      <w:b/>
      <w:bCs/>
      <w:kern w:val="32"/>
      <w:sz w:val="36"/>
      <w:szCs w:val="90"/>
      <w:lang w:bidi="fa-IR"/>
    </w:rPr>
  </w:style>
  <w:style w:type="character" w:styleId="FootnoteReference">
    <w:name w:val="footnote reference"/>
    <w:aliases w:val="مرجع پاورقي"/>
    <w:rsid w:val="000343E9"/>
    <w:rPr>
      <w:rFonts w:ascii="B Lotus" w:hAnsi="B Lotus" w:cs="B Lotus"/>
      <w:sz w:val="32"/>
      <w:szCs w:val="25"/>
      <w:vertAlign w:val="superscript"/>
    </w:rPr>
  </w:style>
  <w:style w:type="paragraph" w:styleId="FootnoteText">
    <w:name w:val="footnote text"/>
    <w:aliases w:val="پاورقی,پاورقي,متن پاورقي"/>
    <w:basedOn w:val="Index1"/>
    <w:link w:val="FootnoteTextChar1"/>
    <w:rsid w:val="000343E9"/>
    <w:pPr>
      <w:ind w:left="170" w:hanging="170"/>
    </w:pPr>
    <w:rPr>
      <w:sz w:val="18"/>
      <w:szCs w:val="25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3E9"/>
    <w:rPr>
      <w:rFonts w:ascii="Times New Roman" w:eastAsia="Times New Roman" w:hAnsi="Times New Roman" w:cs="B Lotus"/>
      <w:sz w:val="20"/>
      <w:szCs w:val="20"/>
      <w:lang w:bidi="fa-IR"/>
    </w:rPr>
  </w:style>
  <w:style w:type="character" w:customStyle="1" w:styleId="FootnoteTextChar1">
    <w:name w:val="Footnote Text Char1"/>
    <w:aliases w:val="پاورقی Char,پاورقي Char,متن پاورقي Char"/>
    <w:link w:val="FootnoteText"/>
    <w:rsid w:val="000343E9"/>
    <w:rPr>
      <w:rFonts w:ascii="Times New Roman" w:eastAsia="Times New Roman" w:hAnsi="Times New Roman" w:cs="B Lotus"/>
      <w:sz w:val="18"/>
      <w:szCs w:val="25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343E9"/>
    <w:pPr>
      <w:spacing w:line="240" w:lineRule="auto"/>
      <w:ind w:left="220" w:hanging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C6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mohammadrezaei.m</dc:creator>
  <cp:lastModifiedBy>morteza.m</cp:lastModifiedBy>
  <cp:revision>4</cp:revision>
  <dcterms:created xsi:type="dcterms:W3CDTF">2018-12-12T09:55:00Z</dcterms:created>
  <dcterms:modified xsi:type="dcterms:W3CDTF">2018-12-15T06:27:00Z</dcterms:modified>
</cp:coreProperties>
</file>